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FC39C9" w:rsidRDefault="007C03E3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E31"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8360F5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8360F5">
              <w:rPr>
                <w:rFonts w:ascii="Times New Roman" w:hAnsi="Times New Roman"/>
              </w:rPr>
              <w:t>21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8360F5">
              <w:rPr>
                <w:rFonts w:ascii="Times New Roman" w:hAnsi="Times New Roman"/>
              </w:rPr>
              <w:t>ноября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</w:t>
            </w:r>
            <w:r w:rsidR="00EC4532">
              <w:rPr>
                <w:rFonts w:ascii="Times New Roman" w:hAnsi="Times New Roman"/>
              </w:rPr>
              <w:t>2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4E6518" w:rsidP="008360F5">
            <w:pPr>
              <w:ind w:firstLine="426"/>
              <w:jc w:val="right"/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 xml:space="preserve">№ </w:t>
            </w:r>
            <w:r w:rsidR="008360F5">
              <w:rPr>
                <w:rFonts w:ascii="Times New Roman" w:hAnsi="Times New Roman"/>
              </w:rPr>
              <w:t>432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444FEF" w:rsidRDefault="007C54D7" w:rsidP="00444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FEF">
        <w:rPr>
          <w:rFonts w:ascii="Times New Roman" w:hAnsi="Times New Roman"/>
          <w:b/>
          <w:iCs/>
          <w:sz w:val="24"/>
          <w:szCs w:val="24"/>
        </w:rPr>
        <w:t>«</w:t>
      </w:r>
      <w:r w:rsidR="00444FEF" w:rsidRPr="00444FEF">
        <w:rPr>
          <w:rFonts w:ascii="Times New Roman" w:hAnsi="Times New Roman"/>
          <w:b/>
          <w:sz w:val="24"/>
          <w:szCs w:val="24"/>
        </w:rPr>
        <w:t xml:space="preserve">Об утверждении общих (рамочных) требований к </w:t>
      </w:r>
    </w:p>
    <w:p w:rsidR="00444FEF" w:rsidRDefault="00444FEF" w:rsidP="00444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FEF">
        <w:rPr>
          <w:rFonts w:ascii="Times New Roman" w:hAnsi="Times New Roman"/>
          <w:b/>
          <w:sz w:val="24"/>
          <w:szCs w:val="24"/>
        </w:rPr>
        <w:t xml:space="preserve">внешнему виду и оформлению ярмарок на территории </w:t>
      </w:r>
    </w:p>
    <w:p w:rsidR="00444FEF" w:rsidRDefault="00444FEF" w:rsidP="00444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Горбунковского сельского</w:t>
      </w:r>
      <w:r w:rsidRPr="00444FEF">
        <w:rPr>
          <w:rFonts w:ascii="Times New Roman" w:hAnsi="Times New Roman"/>
          <w:b/>
          <w:sz w:val="24"/>
          <w:szCs w:val="24"/>
        </w:rPr>
        <w:t xml:space="preserve"> поселения Ломоносовского </w:t>
      </w:r>
    </w:p>
    <w:p w:rsidR="007C54D7" w:rsidRPr="00444FEF" w:rsidRDefault="00444FEF" w:rsidP="00444F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FEF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</w:t>
      </w:r>
      <w:r w:rsidR="00FA5D8A" w:rsidRPr="00444FEF">
        <w:rPr>
          <w:rFonts w:ascii="Times New Roman" w:hAnsi="Times New Roman"/>
          <w:b/>
          <w:sz w:val="24"/>
          <w:szCs w:val="24"/>
        </w:rPr>
        <w:t>»</w:t>
      </w:r>
    </w:p>
    <w:p w:rsidR="00E91588" w:rsidRPr="00E1547B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C4532" w:rsidRPr="00C62EBF" w:rsidRDefault="00444FEF" w:rsidP="00EC4532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4FEF">
        <w:rPr>
          <w:rFonts w:ascii="Times New Roman" w:hAnsi="Times New Roman"/>
          <w:sz w:val="24"/>
          <w:szCs w:val="26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распоряжением Комитета по развитию малого, среднего бизнеса и потребительского рынка Ленинградской области от 21.10.2022 №287-р,  Положением об администрации</w:t>
      </w:r>
      <w:r w:rsidR="00EC4532" w:rsidRPr="00C62EBF">
        <w:rPr>
          <w:rFonts w:ascii="Times New Roman" w:eastAsia="Times New Roman" w:hAnsi="Times New Roman"/>
          <w:lang w:eastAsia="ru-RU"/>
        </w:rPr>
        <w:t xml:space="preserve">: </w:t>
      </w:r>
    </w:p>
    <w:p w:rsidR="000777DD" w:rsidRPr="00E1547B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0C71AD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E1547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E1547B">
        <w:rPr>
          <w:rFonts w:ascii="Times New Roman" w:hAnsi="Times New Roman"/>
          <w:sz w:val="24"/>
          <w:szCs w:val="24"/>
        </w:rPr>
        <w:t xml:space="preserve">        </w:t>
      </w:r>
      <w:r w:rsidRPr="00E1547B">
        <w:rPr>
          <w:rFonts w:ascii="Times New Roman" w:hAnsi="Times New Roman"/>
          <w:sz w:val="24"/>
          <w:szCs w:val="24"/>
        </w:rPr>
        <w:t xml:space="preserve">    </w:t>
      </w:r>
      <w:r w:rsidR="004E6518" w:rsidRPr="000C71AD">
        <w:rPr>
          <w:rFonts w:ascii="Times New Roman" w:hAnsi="Times New Roman"/>
          <w:sz w:val="24"/>
          <w:szCs w:val="24"/>
        </w:rPr>
        <w:t>ПОСТАНОВЛЯ</w:t>
      </w:r>
      <w:r w:rsidR="00E91588" w:rsidRPr="000C71AD">
        <w:rPr>
          <w:rFonts w:ascii="Times New Roman" w:hAnsi="Times New Roman"/>
          <w:sz w:val="24"/>
          <w:szCs w:val="24"/>
        </w:rPr>
        <w:t>ЕТ</w:t>
      </w:r>
      <w:r w:rsidR="004E6518" w:rsidRPr="000C71AD">
        <w:rPr>
          <w:rFonts w:ascii="Times New Roman" w:hAnsi="Times New Roman"/>
          <w:sz w:val="24"/>
          <w:szCs w:val="24"/>
        </w:rPr>
        <w:t>:</w:t>
      </w:r>
    </w:p>
    <w:p w:rsidR="004E6518" w:rsidRPr="000C71AD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346A06" w:rsidRPr="000C71AD" w:rsidRDefault="00E5491B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1AD">
        <w:rPr>
          <w:rFonts w:ascii="Times New Roman" w:hAnsi="Times New Roman"/>
          <w:sz w:val="24"/>
          <w:szCs w:val="24"/>
          <w:lang w:eastAsia="ar-SA"/>
        </w:rPr>
        <w:t xml:space="preserve">Утвердить требования к внешнему виду и оформлению ярмарок на территории </w:t>
      </w:r>
      <w:r w:rsidR="00924908">
        <w:rPr>
          <w:rFonts w:ascii="Times New Roman" w:hAnsi="Times New Roman"/>
          <w:sz w:val="24"/>
          <w:szCs w:val="24"/>
          <w:lang w:eastAsia="ar-SA"/>
        </w:rPr>
        <w:t>Горбунковского сельского</w:t>
      </w:r>
      <w:r w:rsidRPr="000C71AD">
        <w:rPr>
          <w:rFonts w:ascii="Times New Roman" w:hAnsi="Times New Roman"/>
          <w:sz w:val="24"/>
          <w:szCs w:val="24"/>
          <w:lang w:eastAsia="ar-SA"/>
        </w:rPr>
        <w:t xml:space="preserve"> поселения Ломоносовского муниципального района Ленинградской области согласно Приложению</w:t>
      </w:r>
      <w:r w:rsidR="00E37904" w:rsidRPr="000C71AD">
        <w:rPr>
          <w:rFonts w:ascii="Times New Roman" w:hAnsi="Times New Roman"/>
          <w:sz w:val="24"/>
          <w:szCs w:val="24"/>
        </w:rPr>
        <w:t xml:space="preserve"> </w:t>
      </w:r>
      <w:r w:rsidR="00B2566F" w:rsidRPr="000C71AD">
        <w:rPr>
          <w:rFonts w:ascii="Times New Roman" w:hAnsi="Times New Roman"/>
          <w:sz w:val="24"/>
          <w:szCs w:val="24"/>
        </w:rPr>
        <w:t>(Приложение № 1).</w:t>
      </w:r>
    </w:p>
    <w:p w:rsidR="00B2566F" w:rsidRPr="000C71AD" w:rsidRDefault="004E6518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>Настоящее поста</w:t>
      </w:r>
      <w:r w:rsidR="00FC39C9" w:rsidRPr="000C71AD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0C71AD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0C71AD">
        <w:rPr>
          <w:rFonts w:ascii="Times New Roman" w:hAnsi="Times New Roman"/>
          <w:sz w:val="24"/>
          <w:szCs w:val="24"/>
        </w:rPr>
        <w:t>на о</w:t>
      </w:r>
      <w:r w:rsidR="00B2566F" w:rsidRPr="000C71AD">
        <w:rPr>
          <w:rFonts w:ascii="Times New Roman" w:hAnsi="Times New Roman"/>
          <w:sz w:val="24"/>
          <w:szCs w:val="24"/>
        </w:rPr>
        <w:t>фициальном сайте муниципального</w:t>
      </w:r>
      <w:r w:rsidR="00EC4532" w:rsidRPr="000C71AD">
        <w:rPr>
          <w:rFonts w:ascii="Times New Roman" w:hAnsi="Times New Roman"/>
          <w:sz w:val="24"/>
          <w:szCs w:val="24"/>
        </w:rPr>
        <w:t xml:space="preserve"> </w:t>
      </w:r>
      <w:r w:rsidR="00FC39C9" w:rsidRPr="000C71AD">
        <w:rPr>
          <w:rFonts w:ascii="Times New Roman" w:hAnsi="Times New Roman"/>
          <w:sz w:val="24"/>
          <w:szCs w:val="24"/>
        </w:rPr>
        <w:t xml:space="preserve">образования Горбунковское сельское поселение по электронному адресу: </w:t>
      </w:r>
      <w:hyperlink r:id="rId9" w:history="1">
        <w:r w:rsidR="00FC39C9" w:rsidRPr="000C71AD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0C71AD">
        <w:rPr>
          <w:rFonts w:ascii="Times New Roman" w:hAnsi="Times New Roman"/>
          <w:sz w:val="24"/>
          <w:szCs w:val="24"/>
        </w:rPr>
        <w:t>.</w:t>
      </w:r>
    </w:p>
    <w:p w:rsidR="00B2566F" w:rsidRPr="000C71AD" w:rsidRDefault="004E6518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0C71AD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0C71AD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0C71AD">
        <w:rPr>
          <w:rFonts w:ascii="Times New Roman" w:hAnsi="Times New Roman"/>
          <w:sz w:val="24"/>
          <w:szCs w:val="24"/>
        </w:rPr>
        <w:t>.</w:t>
      </w:r>
    </w:p>
    <w:p w:rsidR="00E91588" w:rsidRPr="000C71AD" w:rsidRDefault="00FC39C9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0C71AD">
        <w:rPr>
          <w:rFonts w:ascii="Times New Roman" w:hAnsi="Times New Roman"/>
          <w:sz w:val="24"/>
          <w:szCs w:val="24"/>
        </w:rPr>
        <w:t>п</w:t>
      </w:r>
      <w:r w:rsidRPr="000C71AD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Pr="000C71AD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0C71AD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0C71AD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0C71AD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39C9" w:rsidRPr="000C71AD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1AD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EE7771" w:rsidRPr="000C71A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35DFF" w:rsidRPr="000C71AD">
        <w:rPr>
          <w:rFonts w:ascii="Times New Roman" w:hAnsi="Times New Roman"/>
          <w:sz w:val="24"/>
          <w:szCs w:val="24"/>
        </w:rPr>
        <w:t xml:space="preserve">                </w:t>
      </w:r>
      <w:r w:rsidR="00EE7771" w:rsidRPr="000C71AD">
        <w:rPr>
          <w:rFonts w:ascii="Times New Roman" w:hAnsi="Times New Roman"/>
          <w:sz w:val="24"/>
          <w:szCs w:val="24"/>
        </w:rPr>
        <w:t xml:space="preserve">    </w:t>
      </w:r>
      <w:r w:rsidRPr="000C71AD">
        <w:rPr>
          <w:rFonts w:ascii="Times New Roman" w:hAnsi="Times New Roman"/>
          <w:sz w:val="24"/>
          <w:szCs w:val="24"/>
        </w:rPr>
        <w:t xml:space="preserve">  </w:t>
      </w:r>
      <w:r w:rsidR="009B3091" w:rsidRPr="000C71AD">
        <w:rPr>
          <w:rFonts w:ascii="Times New Roman" w:hAnsi="Times New Roman"/>
          <w:sz w:val="24"/>
          <w:szCs w:val="24"/>
        </w:rPr>
        <w:t>П.А.Руш</w:t>
      </w:r>
    </w:p>
    <w:p w:rsidR="00956BCF" w:rsidRPr="00956BCF" w:rsidRDefault="004E6518" w:rsidP="00956BC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/>
          <w:sz w:val="24"/>
        </w:rPr>
        <w:br w:type="page"/>
      </w:r>
      <w:r w:rsidR="00956BCF" w:rsidRPr="00956B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6BCF" w:rsidRPr="00956BCF" w:rsidRDefault="00956BCF" w:rsidP="00956BC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56BCF" w:rsidRPr="00956BCF" w:rsidRDefault="005D2C58" w:rsidP="00956BC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Горбунковского сельского</w:t>
      </w:r>
      <w:r w:rsidR="00956BCF" w:rsidRPr="00956BCF">
        <w:rPr>
          <w:rFonts w:ascii="Times New Roman" w:hAnsi="Times New Roman" w:cs="Times New Roman"/>
          <w:sz w:val="24"/>
          <w:szCs w:val="24"/>
        </w:rPr>
        <w:t xml:space="preserve"> поселения Ломоносовского района</w:t>
      </w:r>
    </w:p>
    <w:p w:rsidR="00956BCF" w:rsidRPr="00956BCF" w:rsidRDefault="00956BCF" w:rsidP="00956BC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от </w:t>
      </w:r>
      <w:r w:rsidR="00CF6851">
        <w:rPr>
          <w:rFonts w:ascii="Times New Roman" w:hAnsi="Times New Roman" w:cs="Times New Roman"/>
          <w:sz w:val="24"/>
          <w:szCs w:val="24"/>
        </w:rPr>
        <w:t xml:space="preserve">21 ноября 2022 </w:t>
      </w:r>
      <w:bookmarkStart w:id="0" w:name="_GoBack"/>
      <w:bookmarkEnd w:id="0"/>
      <w:r w:rsidRPr="00956BCF">
        <w:rPr>
          <w:rFonts w:ascii="Times New Roman" w:hAnsi="Times New Roman" w:cs="Times New Roman"/>
          <w:sz w:val="24"/>
          <w:szCs w:val="24"/>
        </w:rPr>
        <w:t>г.  №</w:t>
      </w:r>
      <w:r w:rsidR="00CF6851">
        <w:rPr>
          <w:rFonts w:ascii="Times New Roman" w:hAnsi="Times New Roman" w:cs="Times New Roman"/>
          <w:sz w:val="24"/>
          <w:szCs w:val="24"/>
        </w:rPr>
        <w:t xml:space="preserve"> 432</w:t>
      </w:r>
      <w:r w:rsidRPr="00956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BCF" w:rsidRPr="00956BCF" w:rsidRDefault="00956BCF" w:rsidP="00B6354F">
      <w:pPr>
        <w:pStyle w:val="ae"/>
        <w:spacing w:before="0" w:after="0"/>
        <w:rPr>
          <w:bCs/>
          <w:color w:val="auto"/>
        </w:rPr>
      </w:pPr>
    </w:p>
    <w:p w:rsidR="00956BCF" w:rsidRPr="00956BCF" w:rsidRDefault="00956BCF" w:rsidP="00956BCF">
      <w:pPr>
        <w:pStyle w:val="ae"/>
        <w:spacing w:before="0" w:after="0"/>
        <w:jc w:val="center"/>
        <w:rPr>
          <w:b/>
          <w:bCs/>
          <w:color w:val="auto"/>
        </w:rPr>
      </w:pPr>
      <w:r w:rsidRPr="00956BCF">
        <w:rPr>
          <w:b/>
          <w:bCs/>
          <w:color w:val="auto"/>
        </w:rPr>
        <w:t>ТРЕБОВАНИЯ</w:t>
      </w:r>
    </w:p>
    <w:p w:rsidR="00956BCF" w:rsidRPr="00956BCF" w:rsidRDefault="00956BCF" w:rsidP="00956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BCF">
        <w:rPr>
          <w:rFonts w:ascii="Times New Roman" w:hAnsi="Times New Roman"/>
          <w:b/>
          <w:sz w:val="24"/>
          <w:szCs w:val="24"/>
        </w:rPr>
        <w:t xml:space="preserve">к внешнему виду и оформлению ярмарок на территории </w:t>
      </w:r>
      <w:r w:rsidR="006C637E">
        <w:rPr>
          <w:rFonts w:ascii="Times New Roman" w:hAnsi="Times New Roman"/>
          <w:b/>
          <w:sz w:val="24"/>
          <w:szCs w:val="24"/>
        </w:rPr>
        <w:t>Горбунковского сельского</w:t>
      </w:r>
      <w:r w:rsidRPr="00956BCF">
        <w:rPr>
          <w:rFonts w:ascii="Times New Roman" w:hAnsi="Times New Roman"/>
          <w:b/>
          <w:sz w:val="24"/>
          <w:szCs w:val="24"/>
        </w:rPr>
        <w:t xml:space="preserve"> поселения Ломоносовского муниципального района Ленинградской области</w:t>
      </w:r>
    </w:p>
    <w:p w:rsidR="00956BCF" w:rsidRPr="00956BCF" w:rsidRDefault="00956BCF" w:rsidP="00956BCF">
      <w:pPr>
        <w:pStyle w:val="ae"/>
        <w:spacing w:before="0" w:after="0"/>
        <w:jc w:val="center"/>
        <w:rPr>
          <w:b/>
          <w:bCs/>
          <w:color w:val="auto"/>
        </w:rPr>
      </w:pPr>
    </w:p>
    <w:p w:rsidR="00956BCF" w:rsidRPr="00956BCF" w:rsidRDefault="00956BCF" w:rsidP="00956BCF">
      <w:pPr>
        <w:pStyle w:val="ae"/>
        <w:spacing w:before="0" w:after="0"/>
        <w:jc w:val="center"/>
        <w:rPr>
          <w:bCs/>
          <w:color w:val="auto"/>
        </w:rPr>
      </w:pPr>
      <w:r w:rsidRPr="00956BCF">
        <w:rPr>
          <w:bCs/>
          <w:color w:val="auto"/>
        </w:rPr>
        <w:t>1. Общие положения</w:t>
      </w:r>
    </w:p>
    <w:p w:rsidR="00956BCF" w:rsidRPr="00956BCF" w:rsidRDefault="00956BCF" w:rsidP="00956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1.1. Настоящие требования устанавливают общие требования к внешнему виду и оформлению ярмарок, проводимых на территории </w:t>
      </w:r>
      <w:r w:rsidR="00A42D32">
        <w:rPr>
          <w:rFonts w:ascii="Times New Roman" w:hAnsi="Times New Roman"/>
          <w:sz w:val="24"/>
          <w:szCs w:val="24"/>
        </w:rPr>
        <w:t>Горбунковского сельского</w:t>
      </w:r>
      <w:r w:rsidRPr="00956BCF">
        <w:rPr>
          <w:rFonts w:ascii="Times New Roman" w:hAnsi="Times New Roman"/>
          <w:sz w:val="24"/>
          <w:szCs w:val="24"/>
        </w:rPr>
        <w:t xml:space="preserve"> поселения Ломоносовского муниципального района Ленинградской области.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1.2. Для целей настоящих требований к внешнему виду и оформлению ярмарок используются следующие понятия: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- </w:t>
      </w:r>
      <w:r w:rsidRPr="00A42D32">
        <w:rPr>
          <w:rFonts w:ascii="Times New Roman" w:hAnsi="Times New Roman"/>
          <w:b/>
          <w:sz w:val="24"/>
          <w:szCs w:val="24"/>
        </w:rPr>
        <w:t xml:space="preserve">ярмарка </w:t>
      </w:r>
      <w:r w:rsidRPr="00956BCF">
        <w:rPr>
          <w:rFonts w:ascii="Times New Roman" w:hAnsi="Times New Roman"/>
          <w:sz w:val="24"/>
          <w:szCs w:val="24"/>
        </w:rPr>
        <w:t>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- </w:t>
      </w:r>
      <w:r w:rsidRPr="00A42D32">
        <w:rPr>
          <w:rFonts w:ascii="Times New Roman" w:hAnsi="Times New Roman"/>
          <w:b/>
          <w:sz w:val="24"/>
          <w:szCs w:val="24"/>
        </w:rPr>
        <w:t>организатор ярмарки</w:t>
      </w:r>
      <w:r w:rsidRPr="00956BCF">
        <w:rPr>
          <w:rFonts w:ascii="Times New Roman" w:hAnsi="Times New Roman"/>
          <w:sz w:val="24"/>
          <w:szCs w:val="24"/>
        </w:rPr>
        <w:t xml:space="preserve"> – орган государственной власти, орган местного самоуправления, юридическое лицо, индивидуальный предприниматель;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- </w:t>
      </w:r>
      <w:r w:rsidRPr="00A42D32">
        <w:rPr>
          <w:rFonts w:ascii="Times New Roman" w:hAnsi="Times New Roman"/>
          <w:b/>
          <w:sz w:val="24"/>
          <w:szCs w:val="24"/>
        </w:rPr>
        <w:t>участник ярмарки (продавцы)</w:t>
      </w:r>
      <w:r w:rsidRPr="00956BCF">
        <w:rPr>
          <w:rFonts w:ascii="Times New Roman" w:hAnsi="Times New Roman"/>
          <w:sz w:val="24"/>
          <w:szCs w:val="24"/>
        </w:rPr>
        <w:t xml:space="preserve"> –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- </w:t>
      </w:r>
      <w:r w:rsidRPr="00A42D32">
        <w:rPr>
          <w:rFonts w:ascii="Times New Roman" w:hAnsi="Times New Roman"/>
          <w:b/>
          <w:sz w:val="24"/>
          <w:szCs w:val="24"/>
        </w:rPr>
        <w:t>торговое место</w:t>
      </w:r>
      <w:r w:rsidRPr="00956BCF">
        <w:rPr>
          <w:rFonts w:ascii="Times New Roman" w:hAnsi="Times New Roman"/>
          <w:sz w:val="24"/>
          <w:szCs w:val="24"/>
        </w:rPr>
        <w:t xml:space="preserve"> – место на ярмарке, отведенное организатором ярмарки продавцу;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- </w:t>
      </w:r>
      <w:r w:rsidRPr="00A42D32">
        <w:rPr>
          <w:rFonts w:ascii="Times New Roman" w:hAnsi="Times New Roman"/>
          <w:b/>
          <w:sz w:val="24"/>
          <w:szCs w:val="24"/>
        </w:rPr>
        <w:t>место проведения ярмарки</w:t>
      </w:r>
      <w:r w:rsidRPr="00956BCF">
        <w:rPr>
          <w:rFonts w:ascii="Times New Roman" w:hAnsi="Times New Roman"/>
          <w:sz w:val="24"/>
          <w:szCs w:val="24"/>
        </w:rPr>
        <w:t xml:space="preserve"> – торговый объект, земельный участок, часть земельного участка, расположенные на территории </w:t>
      </w:r>
      <w:r w:rsidR="00A24456">
        <w:rPr>
          <w:rFonts w:ascii="Times New Roman" w:hAnsi="Times New Roman"/>
          <w:sz w:val="24"/>
          <w:szCs w:val="24"/>
        </w:rPr>
        <w:t>Горбунковского сельского</w:t>
      </w:r>
      <w:r w:rsidRPr="00956BCF">
        <w:rPr>
          <w:rFonts w:ascii="Times New Roman" w:hAnsi="Times New Roman"/>
          <w:sz w:val="24"/>
          <w:szCs w:val="24"/>
        </w:rPr>
        <w:t xml:space="preserve"> поселения Ломоносовского муниципального района Ленинградской области;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- </w:t>
      </w:r>
      <w:r w:rsidRPr="00A42D32">
        <w:rPr>
          <w:rFonts w:ascii="Times New Roman" w:hAnsi="Times New Roman"/>
          <w:b/>
          <w:sz w:val="24"/>
          <w:szCs w:val="24"/>
        </w:rPr>
        <w:t>нестационарный торговый объект</w:t>
      </w:r>
      <w:r w:rsidRPr="00956BCF">
        <w:rPr>
          <w:rFonts w:ascii="Times New Roman" w:hAnsi="Times New Roman"/>
          <w:sz w:val="24"/>
          <w:szCs w:val="24"/>
        </w:rPr>
        <w:t xml:space="preserve"> – палатка, шатер, мобильный объект (автомагазин), бахчевой развал, торговая тележка.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6BCF" w:rsidRPr="00956BCF" w:rsidRDefault="00956BCF" w:rsidP="00956B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2. Требования к внешнему виду и оформлению ярмарки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2.1. Оформление ярмарок 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благоустройства, утвержденным на территории </w:t>
      </w:r>
      <w:r w:rsidR="00A42D32">
        <w:rPr>
          <w:rFonts w:ascii="Times New Roman" w:hAnsi="Times New Roman"/>
          <w:sz w:val="24"/>
          <w:szCs w:val="24"/>
        </w:rPr>
        <w:t>Горбунковского сельского</w:t>
      </w:r>
      <w:r w:rsidRPr="00956BCF">
        <w:rPr>
          <w:rFonts w:ascii="Times New Roman" w:hAnsi="Times New Roman"/>
          <w:sz w:val="24"/>
          <w:szCs w:val="24"/>
        </w:rPr>
        <w:t xml:space="preserve"> поселения Ломоносовского муниципального района Ленинградской области. При проведении праздничных ярмарок допускается использование культурных, национальных, фольклорных и иных элементов оформления, средств декора, связанных с тематикой проводимого торгового или торгово – праздничного мероприятия.</w:t>
      </w:r>
    </w:p>
    <w:p w:rsidR="00956BCF" w:rsidRPr="00956BCF" w:rsidRDefault="00A42D32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956BCF" w:rsidRPr="00956BCF">
        <w:rPr>
          <w:rFonts w:ascii="Times New Roman" w:hAnsi="Times New Roman"/>
          <w:sz w:val="24"/>
          <w:szCs w:val="24"/>
        </w:rPr>
        <w:t>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 следующие виды оборудования: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2.2.1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содержатся в чистоте.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Требования к торговым палаткам: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1) габариты исходного модуля: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lastRenderedPageBreak/>
        <w:t>- глубина – не более 2 м;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ширина – не более 2,5 м;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высота – не более 3,0 м;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2) место для выкладки товаров (прилавок) торговой палатки следует располагать на высоте не более 1,1 м от уровня земли;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3) кровля палатки может быть односкатной (с минимальным уклоном 5% в сторону задней стенки) или двускатной;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4)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находится на высоте не менее 2,3 м;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5) расстояние между группами торговых палаток должны быть не менее 1,4 м.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2.2.2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содержатся в чистоте.</w:t>
      </w:r>
    </w:p>
    <w:p w:rsidR="00956BCF" w:rsidRPr="00956BCF" w:rsidRDefault="00956BCF" w:rsidP="00956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Требования к передвижным средствам торговли: 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1) габариты передвижных средств торговли: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длина – не более 6 м;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ширина – не более 2,5 м;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высота – не более 2,5 м;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2) место для выкладки товаров (прилавок) передвижные средства торговли должно быть расположено на высоте не более 1,3 м от уровня земли;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3)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4) перед передвижным средством торговли, представляющим услуги общественного питания, рекомендуется размещать табличку с меню;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5) над торговым окном необходимо организовать навес или козырек шириной не менее 0,3 м;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6) допустимо размещение вывески;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7) передвижные средства торговли следует располагать в едином порядке (по одной линии).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2.2.3 торговые автоматы (вендинговые автоматы). Торговые автоматы, а также прилегающие к ним территория должны содержаться в чистоте.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2.2.4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благоустройства, утвержденным на территории </w:t>
      </w:r>
      <w:r w:rsidR="00A42D32">
        <w:rPr>
          <w:rFonts w:ascii="Times New Roman" w:hAnsi="Times New Roman"/>
          <w:sz w:val="24"/>
          <w:szCs w:val="24"/>
        </w:rPr>
        <w:t>Горбунковского сельского</w:t>
      </w:r>
      <w:r w:rsidRPr="00956BCF">
        <w:rPr>
          <w:rFonts w:ascii="Times New Roman" w:hAnsi="Times New Roman"/>
          <w:sz w:val="24"/>
          <w:szCs w:val="24"/>
        </w:rPr>
        <w:t xml:space="preserve"> поселения.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2.2.5 торговые столы, стулья, прилавки единого образца.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2.3 Торговые места рекомендуется оформлять скатертями единого образца высокой степени износостойкости и водонепроницаемости по заявленному количеству торговых мест.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2.4 Специальная форма (фартуки) и бейджи продавцов рекомендуется оформлять в едином стиле. 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6BCF" w:rsidRPr="00956BCF" w:rsidRDefault="00956BCF" w:rsidP="00956B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3. Информационное обеспечение проведения ярмарки</w:t>
      </w:r>
    </w:p>
    <w:p w:rsidR="00956BCF" w:rsidRPr="00956BCF" w:rsidRDefault="00956BCF" w:rsidP="00956B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3.1. Организатор ярмарки обеспечивает: 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размещение вывески при входе на ярмарку с указанием наименования организатора ярмарки, места его нахождения, контактных телефонов, режима работы ярмарки (времени проведения), сведений о количестве торговых мест для продажи товаров (выполнения работ, оказания услуг), телефонов контролирующих и надзорных органов (Управление Роспотребнадзора по Ленинградской области, ГУ МВД России по г.</w:t>
      </w:r>
      <w:r w:rsidR="00BE29C1">
        <w:rPr>
          <w:rFonts w:ascii="Times New Roman" w:hAnsi="Times New Roman"/>
          <w:sz w:val="24"/>
          <w:szCs w:val="24"/>
        </w:rPr>
        <w:t xml:space="preserve"> </w:t>
      </w:r>
      <w:r w:rsidRPr="00956BCF">
        <w:rPr>
          <w:rFonts w:ascii="Times New Roman" w:hAnsi="Times New Roman"/>
          <w:sz w:val="24"/>
          <w:szCs w:val="24"/>
        </w:rPr>
        <w:t xml:space="preserve">Санкт-Петербургу и Ленинградской области, ГУ МЧС России по Ленинградской области, Федеральная </w:t>
      </w:r>
      <w:r w:rsidRPr="00956BCF">
        <w:rPr>
          <w:rFonts w:ascii="Times New Roman" w:hAnsi="Times New Roman"/>
          <w:sz w:val="24"/>
          <w:szCs w:val="24"/>
        </w:rPr>
        <w:lastRenderedPageBreak/>
        <w:t xml:space="preserve">налоговая служба России, администрации </w:t>
      </w:r>
      <w:r w:rsidR="00BE29C1">
        <w:rPr>
          <w:rFonts w:ascii="Times New Roman" w:hAnsi="Times New Roman"/>
          <w:sz w:val="24"/>
          <w:szCs w:val="24"/>
        </w:rPr>
        <w:t>Горбунковского сельского</w:t>
      </w:r>
      <w:r w:rsidRPr="00956BCF">
        <w:rPr>
          <w:rFonts w:ascii="Times New Roman" w:hAnsi="Times New Roman"/>
          <w:sz w:val="24"/>
          <w:szCs w:val="24"/>
        </w:rPr>
        <w:t xml:space="preserve"> поселения Ломоносовского района);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свободный проход и доступ к торговым местам на ярмарке для инвалидов и других маломобильных групп населения;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возможность подключения к электросетям (если на ярмарке предусмотрена продажа скоропортящихся товаров);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удобный подъезд автотранспорта (не должны создаваться помехи для прохода пешеходов);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места для стоянки автотранспортных средств участников и посетителей ярмарки (при наличии возможности);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b/>
          <w:sz w:val="24"/>
          <w:szCs w:val="24"/>
        </w:rPr>
        <w:t>-</w:t>
      </w:r>
      <w:r w:rsidRPr="00956BCF">
        <w:rPr>
          <w:rFonts w:ascii="Times New Roman" w:hAnsi="Times New Roman"/>
          <w:sz w:val="24"/>
          <w:szCs w:val="24"/>
        </w:rPr>
        <w:t xml:space="preserve"> освещение торговых мест при проведении ярмарки в темное время суток;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- содержание в надлежащем санитарно-гигиеническом состоянии места торговли; </w:t>
      </w:r>
    </w:p>
    <w:p w:rsidR="00956BCF" w:rsidRPr="00956BCF" w:rsidRDefault="00956BCF" w:rsidP="00956BC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оснащение места проведения ярмарок контейнерами для сбора мусора и туалетами;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3.2. Для организации торговых мест на ярмарках участниками ярмарки используются: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нестационарные торговые объекты;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торговое оборудование, предназначенное для выкладки товара и хранения запасов;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 вывеска с указанием наименования участника ярмарки (юридического лица, индивидуального предпринимателя), места его нахождения (адреса), контактного телефона;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холодильное оборудование, обеспечивающее возможность соблюдения условий приема, хранения и отпуска товаров, оборудование должно соответствовать государственным стандартам, санитарным нормам и требованиям техники безопасности, а также быть чистым, целостным (без сколов, трещин, ржавчины, и т.д.);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исправные весоизмерительные приборы, прошедшие своевременную и в установленном порядке метрологическую поверку;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ценники единого образца на каждом наименовании товара (работ, услуг);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- контрольно-кассовая техника в случаях, предусмотренных законодательством Российской Федерации.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3.4. Нестационарные торговые объекты оформляются в единой цветовой гамме по колористике с небольшими различиями в тонах.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3.5. Нестационарные торговые объекты и их элементы должны иметь эстетический внешний вид, находиться в технически исправном состоянии, не иметь загрязнений и повреждений, в том числе трещин, ржавчины, пятен выгорания цветового пигмента, порывов и деформаций.</w:t>
      </w: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3.6. Приобретение нестационарных торговых объектов, торгового инвентаря, оборудования осуществляется за счет участника ярмарки.</w:t>
      </w:r>
    </w:p>
    <w:p w:rsidR="00956BCF" w:rsidRPr="00956BCF" w:rsidRDefault="00956BCF" w:rsidP="00B635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3.7. Мобильные торговые объекты (автомагазины) должны использоваться при условии государственной регистрации и прохождения ими государственного технического осмотра.</w:t>
      </w:r>
    </w:p>
    <w:p w:rsidR="00956BCF" w:rsidRPr="00956BCF" w:rsidRDefault="00956BCF" w:rsidP="00956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956BCF" w:rsidRPr="00956BCF" w:rsidRDefault="00956BCF" w:rsidP="009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BCF" w:rsidRPr="00956BCF" w:rsidRDefault="00956BCF" w:rsidP="00956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4.1. Настоящие требования обязательны для выполнения всеми лицами, участвующими в процессе организации и проведения ярмарок на территории </w:t>
      </w:r>
      <w:r w:rsidR="00010083">
        <w:rPr>
          <w:rFonts w:ascii="Times New Roman" w:hAnsi="Times New Roman"/>
          <w:sz w:val="24"/>
          <w:szCs w:val="24"/>
        </w:rPr>
        <w:t>Горбунковского сельского</w:t>
      </w:r>
      <w:r w:rsidRPr="00956BCF">
        <w:rPr>
          <w:rFonts w:ascii="Times New Roman" w:hAnsi="Times New Roman"/>
          <w:sz w:val="24"/>
          <w:szCs w:val="24"/>
        </w:rPr>
        <w:t xml:space="preserve"> поселения Ломоносовского муниципального района Ленинградской области.</w:t>
      </w:r>
    </w:p>
    <w:p w:rsidR="004E6518" w:rsidRPr="00B6354F" w:rsidRDefault="00956BCF" w:rsidP="00B63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56BCF">
        <w:rPr>
          <w:rFonts w:ascii="Times New Roman" w:hAnsi="Times New Roman"/>
          <w:sz w:val="24"/>
          <w:szCs w:val="24"/>
        </w:rPr>
        <w:t xml:space="preserve">4.2. В случае нарушения участником ярмарки настоящих требований сотрудниками администрации </w:t>
      </w:r>
      <w:r w:rsidR="00010083">
        <w:rPr>
          <w:rFonts w:ascii="Times New Roman" w:hAnsi="Times New Roman"/>
          <w:sz w:val="24"/>
          <w:szCs w:val="24"/>
        </w:rPr>
        <w:t>Горбунковского сельского</w:t>
      </w:r>
      <w:r w:rsidRPr="00956BCF">
        <w:rPr>
          <w:rFonts w:ascii="Times New Roman" w:hAnsi="Times New Roman"/>
          <w:sz w:val="24"/>
          <w:szCs w:val="24"/>
        </w:rPr>
        <w:t xml:space="preserve"> поселения Ломоносовского района принимаются меры административного воздействия в соответствии с </w:t>
      </w:r>
      <w:r w:rsidRPr="00956BCF">
        <w:rPr>
          <w:rFonts w:ascii="Times New Roman" w:eastAsiaTheme="minorHAnsi" w:hAnsi="Times New Roman"/>
          <w:sz w:val="24"/>
          <w:szCs w:val="24"/>
        </w:rPr>
        <w:t xml:space="preserve">областным законом Ленинградской области от 02.07.2003 № 47-оз «Об административных правонарушениях». </w:t>
      </w:r>
    </w:p>
    <w:sectPr w:rsidR="004E6518" w:rsidRPr="00B6354F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96" w:rsidRDefault="00797496">
      <w:r>
        <w:separator/>
      </w:r>
    </w:p>
  </w:endnote>
  <w:endnote w:type="continuationSeparator" w:id="0">
    <w:p w:rsidR="00797496" w:rsidRDefault="0079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96" w:rsidRDefault="00797496">
      <w:r>
        <w:separator/>
      </w:r>
    </w:p>
  </w:footnote>
  <w:footnote w:type="continuationSeparator" w:id="0">
    <w:p w:rsidR="00797496" w:rsidRDefault="0079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062"/>
    <w:multiLevelType w:val="multilevel"/>
    <w:tmpl w:val="7EAAC7B8"/>
    <w:lvl w:ilvl="0">
      <w:start w:val="1"/>
      <w:numFmt w:val="decimal"/>
      <w:lvlText w:val="%1."/>
      <w:lvlJc w:val="left"/>
      <w:pPr>
        <w:ind w:left="6922" w:hanging="260"/>
      </w:pPr>
      <w:rPr>
        <w:rFonts w:ascii="Times New Roman" w:eastAsia="Times New Roman" w:hAnsi="Times New Roman" w:cs="Times New Roman"/>
        <w:w w:val="99"/>
        <w:sz w:val="24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6" w:hanging="539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rFonts w:hint="default"/>
        <w:lang w:val="ru-RU" w:eastAsia="ru-RU" w:bidi="ru-RU"/>
      </w:rPr>
    </w:lvl>
  </w:abstractNum>
  <w:abstractNum w:abstractNumId="1" w15:restartNumberingAfterBreak="0">
    <w:nsid w:val="09A660F1"/>
    <w:multiLevelType w:val="hybridMultilevel"/>
    <w:tmpl w:val="9CECA608"/>
    <w:lvl w:ilvl="0" w:tplc="5E74DF2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986850"/>
    <w:multiLevelType w:val="hybridMultilevel"/>
    <w:tmpl w:val="301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A403E3"/>
    <w:multiLevelType w:val="multilevel"/>
    <w:tmpl w:val="A2CA929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4E7A5F"/>
    <w:multiLevelType w:val="hybridMultilevel"/>
    <w:tmpl w:val="018A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rFonts w:hint="default"/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rFonts w:hint="default"/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rFonts w:hint="default"/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rFonts w:hint="default"/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rFonts w:hint="default"/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rFonts w:hint="default"/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rFonts w:hint="default"/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rFonts w:hint="default"/>
        <w:lang w:val="ru-RU" w:eastAsia="ru-RU" w:bidi="ru-RU"/>
      </w:rPr>
    </w:lvl>
  </w:abstractNum>
  <w:abstractNum w:abstractNumId="10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0083"/>
    <w:rsid w:val="0001151D"/>
    <w:rsid w:val="000254CF"/>
    <w:rsid w:val="00037284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2179"/>
    <w:rsid w:val="000B5BBB"/>
    <w:rsid w:val="000C4A5E"/>
    <w:rsid w:val="000C71AD"/>
    <w:rsid w:val="000D2AA9"/>
    <w:rsid w:val="000E71F8"/>
    <w:rsid w:val="00111E26"/>
    <w:rsid w:val="00131A67"/>
    <w:rsid w:val="00141F26"/>
    <w:rsid w:val="00155510"/>
    <w:rsid w:val="001612E2"/>
    <w:rsid w:val="00163AA8"/>
    <w:rsid w:val="00164241"/>
    <w:rsid w:val="00185B96"/>
    <w:rsid w:val="001B74CC"/>
    <w:rsid w:val="001D740B"/>
    <w:rsid w:val="002056F4"/>
    <w:rsid w:val="00206E0E"/>
    <w:rsid w:val="00207AAD"/>
    <w:rsid w:val="00211FD3"/>
    <w:rsid w:val="002134A2"/>
    <w:rsid w:val="00222301"/>
    <w:rsid w:val="00226C0D"/>
    <w:rsid w:val="00230F32"/>
    <w:rsid w:val="00235DFF"/>
    <w:rsid w:val="0025047B"/>
    <w:rsid w:val="0026164D"/>
    <w:rsid w:val="00267957"/>
    <w:rsid w:val="002818F3"/>
    <w:rsid w:val="002A1C7D"/>
    <w:rsid w:val="002A4740"/>
    <w:rsid w:val="002B1942"/>
    <w:rsid w:val="002B7531"/>
    <w:rsid w:val="002C3C32"/>
    <w:rsid w:val="002F3481"/>
    <w:rsid w:val="002F6B60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3A05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44FEF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665"/>
    <w:rsid w:val="004E1D65"/>
    <w:rsid w:val="004E4974"/>
    <w:rsid w:val="004E5CE7"/>
    <w:rsid w:val="004E6518"/>
    <w:rsid w:val="00511F50"/>
    <w:rsid w:val="005305F9"/>
    <w:rsid w:val="0056687C"/>
    <w:rsid w:val="00567146"/>
    <w:rsid w:val="005720F4"/>
    <w:rsid w:val="00573D08"/>
    <w:rsid w:val="00594AD0"/>
    <w:rsid w:val="005957FF"/>
    <w:rsid w:val="005A5D07"/>
    <w:rsid w:val="005B1240"/>
    <w:rsid w:val="005C3AC4"/>
    <w:rsid w:val="005C6CB7"/>
    <w:rsid w:val="005D2C58"/>
    <w:rsid w:val="005D744F"/>
    <w:rsid w:val="005E1A8F"/>
    <w:rsid w:val="00603E73"/>
    <w:rsid w:val="0061301F"/>
    <w:rsid w:val="00616F4C"/>
    <w:rsid w:val="00623C50"/>
    <w:rsid w:val="0063145F"/>
    <w:rsid w:val="00632F15"/>
    <w:rsid w:val="00637B86"/>
    <w:rsid w:val="006606AC"/>
    <w:rsid w:val="00663F70"/>
    <w:rsid w:val="00677B04"/>
    <w:rsid w:val="006A229A"/>
    <w:rsid w:val="006A2464"/>
    <w:rsid w:val="006B6CA4"/>
    <w:rsid w:val="006C637E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F06"/>
    <w:rsid w:val="00775C6F"/>
    <w:rsid w:val="00797496"/>
    <w:rsid w:val="007A37C3"/>
    <w:rsid w:val="007B7956"/>
    <w:rsid w:val="007C03E3"/>
    <w:rsid w:val="007C54D7"/>
    <w:rsid w:val="007E2B2B"/>
    <w:rsid w:val="007E35BD"/>
    <w:rsid w:val="007E4F4F"/>
    <w:rsid w:val="007E75FD"/>
    <w:rsid w:val="007F10BD"/>
    <w:rsid w:val="008045B7"/>
    <w:rsid w:val="00813A64"/>
    <w:rsid w:val="008360F5"/>
    <w:rsid w:val="008418DC"/>
    <w:rsid w:val="00851BB2"/>
    <w:rsid w:val="008538DA"/>
    <w:rsid w:val="00875FA0"/>
    <w:rsid w:val="00876D5F"/>
    <w:rsid w:val="008B29AA"/>
    <w:rsid w:val="008C5189"/>
    <w:rsid w:val="008D7A5C"/>
    <w:rsid w:val="008E006A"/>
    <w:rsid w:val="008E1838"/>
    <w:rsid w:val="008E25A4"/>
    <w:rsid w:val="008E25F2"/>
    <w:rsid w:val="008E49FC"/>
    <w:rsid w:val="008E52F3"/>
    <w:rsid w:val="008E625C"/>
    <w:rsid w:val="008F4A03"/>
    <w:rsid w:val="00901501"/>
    <w:rsid w:val="00901C0D"/>
    <w:rsid w:val="00924908"/>
    <w:rsid w:val="00925B58"/>
    <w:rsid w:val="0093122F"/>
    <w:rsid w:val="00936866"/>
    <w:rsid w:val="00956BCF"/>
    <w:rsid w:val="0096352F"/>
    <w:rsid w:val="00983E1D"/>
    <w:rsid w:val="009975EC"/>
    <w:rsid w:val="009B3091"/>
    <w:rsid w:val="009B7F2B"/>
    <w:rsid w:val="009D1636"/>
    <w:rsid w:val="009D498F"/>
    <w:rsid w:val="009E0AB8"/>
    <w:rsid w:val="009F4193"/>
    <w:rsid w:val="00A15C28"/>
    <w:rsid w:val="00A24456"/>
    <w:rsid w:val="00A41410"/>
    <w:rsid w:val="00A42D32"/>
    <w:rsid w:val="00A624E7"/>
    <w:rsid w:val="00A8526C"/>
    <w:rsid w:val="00A93C09"/>
    <w:rsid w:val="00AA170D"/>
    <w:rsid w:val="00AA6812"/>
    <w:rsid w:val="00AB7BC0"/>
    <w:rsid w:val="00AD4DEC"/>
    <w:rsid w:val="00AE255F"/>
    <w:rsid w:val="00B061E7"/>
    <w:rsid w:val="00B12FAA"/>
    <w:rsid w:val="00B2566F"/>
    <w:rsid w:val="00B26701"/>
    <w:rsid w:val="00B27C64"/>
    <w:rsid w:val="00B339B4"/>
    <w:rsid w:val="00B41226"/>
    <w:rsid w:val="00B50AB8"/>
    <w:rsid w:val="00B50CE0"/>
    <w:rsid w:val="00B51CCC"/>
    <w:rsid w:val="00B6354F"/>
    <w:rsid w:val="00B75CAE"/>
    <w:rsid w:val="00B75DA7"/>
    <w:rsid w:val="00B871B0"/>
    <w:rsid w:val="00B93534"/>
    <w:rsid w:val="00BB4A41"/>
    <w:rsid w:val="00BC4844"/>
    <w:rsid w:val="00BD24BC"/>
    <w:rsid w:val="00BD4A15"/>
    <w:rsid w:val="00BE29C1"/>
    <w:rsid w:val="00BF4831"/>
    <w:rsid w:val="00BF5CBC"/>
    <w:rsid w:val="00C36084"/>
    <w:rsid w:val="00C403AE"/>
    <w:rsid w:val="00C536B7"/>
    <w:rsid w:val="00C6222C"/>
    <w:rsid w:val="00C62EBF"/>
    <w:rsid w:val="00C84604"/>
    <w:rsid w:val="00C93703"/>
    <w:rsid w:val="00C94095"/>
    <w:rsid w:val="00CA2A71"/>
    <w:rsid w:val="00CC4696"/>
    <w:rsid w:val="00CC478C"/>
    <w:rsid w:val="00CD7B9C"/>
    <w:rsid w:val="00CF3899"/>
    <w:rsid w:val="00CF397B"/>
    <w:rsid w:val="00CF6851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5101"/>
    <w:rsid w:val="00E1547B"/>
    <w:rsid w:val="00E167D9"/>
    <w:rsid w:val="00E16E0F"/>
    <w:rsid w:val="00E37904"/>
    <w:rsid w:val="00E5491B"/>
    <w:rsid w:val="00E902D9"/>
    <w:rsid w:val="00E90AEE"/>
    <w:rsid w:val="00E91588"/>
    <w:rsid w:val="00EA4599"/>
    <w:rsid w:val="00EA7AB9"/>
    <w:rsid w:val="00EC4532"/>
    <w:rsid w:val="00EC52EE"/>
    <w:rsid w:val="00EE693F"/>
    <w:rsid w:val="00EE6D10"/>
    <w:rsid w:val="00EE7771"/>
    <w:rsid w:val="00F025AC"/>
    <w:rsid w:val="00F11E32"/>
    <w:rsid w:val="00F23CAE"/>
    <w:rsid w:val="00F2736B"/>
    <w:rsid w:val="00F35390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A5D8A"/>
    <w:rsid w:val="00FB4E1D"/>
    <w:rsid w:val="00FB4F91"/>
    <w:rsid w:val="00FB5A40"/>
    <w:rsid w:val="00FC39C9"/>
    <w:rsid w:val="00FD7F10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5B789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paragraph" w:styleId="ac">
    <w:name w:val="No Spacing"/>
    <w:uiPriority w:val="1"/>
    <w:qFormat/>
    <w:rsid w:val="00FA5D8A"/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locked/>
    <w:rsid w:val="00B256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B2566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nsPlusNormal0">
    <w:name w:val="ConsPlusNormal Знак"/>
    <w:link w:val="ConsPlusNormal"/>
    <w:locked/>
    <w:rsid w:val="00B2566F"/>
    <w:rPr>
      <w:rFonts w:eastAsia="Times New Roman" w:cs="Calibri"/>
      <w:szCs w:val="20"/>
    </w:rPr>
  </w:style>
  <w:style w:type="paragraph" w:styleId="ae">
    <w:name w:val="Normal (Web)"/>
    <w:basedOn w:val="a"/>
    <w:rsid w:val="00956BCF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BFB1-D025-498B-B365-E7018470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19</cp:revision>
  <cp:lastPrinted>2022-11-21T12:41:00Z</cp:lastPrinted>
  <dcterms:created xsi:type="dcterms:W3CDTF">2022-11-21T12:31:00Z</dcterms:created>
  <dcterms:modified xsi:type="dcterms:W3CDTF">2022-11-21T12:57:00Z</dcterms:modified>
</cp:coreProperties>
</file>